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74</w:t>
      </w:r>
    </w:p>
    <w:p>
      <w:r>
        <w:t>Bundesgericht (BGE), 1991-11-06, FR</w:t>
      </w:r>
    </w:p>
    <w:p>
      <w:r>
        <w:rPr>
          <w:b/>
        </w:rPr>
        <w:t xml:space="preserve">Quelle: </w:t>
      </w:r>
      <w:r>
        <w:t>https://mcp.opencaselaw.ch/entscheid/bge_117 III 74</w:t>
      </w:r>
    </w:p>
    <w:p>
      <w:r>
        <w:t>FR: ATF 117 III 74</w:t>
      </w:r>
    </w:p>
    <w:p>
      <w:r>
        <w:t>IT: DTF 117 III 74</w:t>
      </w:r>
    </w:p>
    <w:p>
      <w:pPr>
        <w:pStyle w:val="Heading2"/>
      </w:pPr>
      <w:r>
        <w:t>Regeste</w:t>
      </w:r>
    </w:p>
    <w:p>
      <w:r>
        <w:t>Regeste Art. 41, 271 Abs. 1 und 279 Abs. 2 SchKG. Beschwerde gegen eine Arrestbetreibung unter Berufung auf ein bestehendes Pfandrecht. Bei einer Arrestbetreibung kann die Einrede, die Forderung sei pfandversichert, einzig mit Arrestaufhebungsklage geltend gemacht werden (Bestätigung der Rechtsprechung).</w:t>
      </w:r>
    </w:p>
    <w:p>
      <w:pPr>
        <w:pStyle w:val="Heading2"/>
      </w:pPr>
      <w:r>
        <w:t>Erwägungen</w:t>
      </w:r>
    </w:p>
    <w:p>
      <w:r>
        <w:rPr>
          <w:b/>
        </w:rPr>
        <w:t>E. 1</w:t>
      </w:r>
    </w:p>
    <w:p>
      <w:r>
        <w:t>Le recourant soutient, dans sa plainte et son recours, qu'il est en droit d'exiger, pour une créance garantie par gage, une poursuite en réalisation de gage et, par conséquent, l'annulation de la poursuite ordinaire en validation de séquestre introduite contre lui. L'autorité cantonale de surveillance est, au contraire, d'avis qu'elle ne saurait trancher la question de l'existence du gage et les conséquences de celle-ci, car ce problème doit être résolu dans le cadre de l'action en contestation du cas de séquestre qui est pendante. Selon l' art. 41 al. 1 LP , lorsque la poursuite a pour objet une créance garantie par gage, elle se continue par la réalisation du gage, même contre les débiteurs sujets à la poursuite par voie de faillite. Lorsque le débiteur poursuivi par voie de poursuite ordinaire entend soutenir que la créance est garantie par gage et que, par conséquent, seule la poursuite en réalisation de gage est admissible, il doit faire valoir cette exception par la voie de la plainte dans les dix jours dès la notification du commandement de payer. S'il ne le fait pas, il ne peut plus, par la suite, attaquer le mode de poursuite (art 85 al. 2 ORI; ATF 110 III 7 consid. 2 et les arrêts cités). Selon l' art. 271 al. 1 LP , le créancier d'une dette échue peut requérir le séquestre des biens du débiteur dans cinq cas, à la condition que la dette ne soit pas garantie par gage. Cette condition est équivalente à un "cas" de séquestre. Le débiteur qui veut faire constater que la dette est garantie par gage doit donc ouvrir action en contestation du cas de séquestre, au sens de l' art. 279 al. 2 LP ( ATF 51 III 29 ). Si cette action est fondée, le séquestre est annulé. Ainsi, la question de l'existence du gage peut se poser à deux stades de la procédure: après la notification du commandement de payer, si le débiteur invoque le bénéfice de réalisation du gage, et après l'autorisation de séquestre, si le débiteur conteste le cas de BGE 117 III 74 S. 76 séquestre en invoquant la présence d'un gage. Ces deux hypothèses ne se succèdent pas dans un ordre déterminé: la notification du commandement de payer dans la poursuite en validation du séquestre peut intervenir avant ou, comme en l'espèce, après l'ouverture de l'action en contestation du cas de séquestre. La voie de l'action en contestation du cas de séquestre a été jugée seule ouverte pour faire valoir l'existence d'un gage ( ATF 51 III 29 ; BlSchK 1976, p. 184). Cette jurisprudence concerne des cas où le débiteur n'avait, apparemment tout au moins, pas ouvert action en contestation du cas de séquestre, mais seulement contesté, par voie de plainte, la poursuite en validation ouverte contre lui. A plus forte raison s'applique-t-elle lorsque, comme en l'espèce, l'existence du gage est déjà invoquée dans une action en contestation du cas de séquestre. L'exclusivité de cette voie de droit pour trancher la question de l'existence du gage doit être confirmée. En effet, après séquestre, la question du gage est assimilée à un cas de séquestre ( ATF 51 III 29 ) et la loi prévoit une voie spéciale, l'action en contestation du cas de séquestre, pour la trancher. Cette action, qui est spécialement conçue pour régler le sort du séquestre en fonction notamment de l'existence d'un gage, doit être préférée à la voie générale de la plainte qui tend, elle, lorsqu'un gage est invoqué, à déterminer le mode de continuation de la poursuite. On ne peut tenter de remettre en cause l'autorisation de séquestre par une voie générale et indirecte alors que la loi organise une voie spéciale et directe pour faire contrôler cette autorisation en fonction du motif même qui serait invoqué dans la première voie. C'est donc à bon droit que l'autorité cantonale de surveillance s'est déclarée incompétente pour trancher la question de l'existence du gage dans le cadre de la procédure de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